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001-42915</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Alps Group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 E-18-01 &amp; E-18-02, Level 18, Icon Tower (East)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Jalan 1/68F, Jalan Tun Razak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50400 Kuala Lumpur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Wilayah Persekutuan, Malaysia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jc w:val="center"/>
        <w:ind w:right="-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Appointment of Board Member</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Alps Group Inc (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announces that Mr. Hee H. Lee (“</w:t>
      </w:r>
      <w:r>
        <w:rPr>
          <w:rFonts w:ascii="Times New Roman" w:cs="Times New Roman" w:eastAsia="Times New Roman" w:hAnsi="Times New Roman"/>
          <w:sz w:val="18"/>
          <w:szCs w:val="18"/>
          <w:b w:val="1"/>
          <w:bCs w:val="1"/>
          <w:color w:val="auto"/>
        </w:rPr>
        <w:t>Mr. Lee</w:t>
      </w:r>
      <w:r>
        <w:rPr>
          <w:rFonts w:ascii="Times New Roman" w:cs="Times New Roman" w:eastAsia="Times New Roman" w:hAnsi="Times New Roman"/>
          <w:sz w:val="18"/>
          <w:szCs w:val="18"/>
          <w:color w:val="auto"/>
        </w:rPr>
        <w:t>”) has been appointed as a director of the Company, effective April 17, 2026. In connection with the appointment, the number of members of the Board will increase from five (5) to six (6). Mr. Lee is independent pursuant to applicable Nasdaq rules.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Lee has over 30 years of experience in the financial services sector. He served as a Partner at Ernst &amp; Young LLP from July 2013 to June 30, 2025, during which period he established and led the Americas Financial Accounting Advisory Services practice. In addition, he served as an advisor to the International Swaps and Derivatives Association for more than 20 years.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Lee holds a Master of Accountancy and Financial Information Systems from Cleveland State University and a Bachelor of Business Administration from the University of Louisiana at Lafayette. He is a Certified Public Accountant licensed in the State of New York.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Mr. Lee will bring abroad extensive and relevant professional experience to the Company. Mr. Lee is expected to serve as a member of both the Audit Committee and the Compensation Committee of the Board.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issued a press release on April 17, 2026 announcing the appointment of the director, and is furnished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Alps Group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Tham Seng Kong</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Dr. Tham Seng Kong</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32"/>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164465</wp:posOffset>
            </wp:positionV>
            <wp:extent cx="1543050" cy="69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Alps Group Appoints Former Ernst &amp; Young Partner to Board of Directors, Strengthening Governance and Capital Markets Oversight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KUALA LUMPUR, Malaysia, April 17, 2026 - Alps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Alps Group</w:t>
      </w:r>
      <w:r>
        <w:rPr>
          <w:rFonts w:ascii="Times New Roman" w:cs="Times New Roman" w:eastAsia="Times New Roman" w:hAnsi="Times New Roman"/>
          <w:sz w:val="18"/>
          <w:szCs w:val="18"/>
          <w:color w:val="auto"/>
        </w:rPr>
        <w:t>”), the parent company of Alps Life Sciences Inc. (“</w:t>
      </w:r>
      <w:r>
        <w:rPr>
          <w:rFonts w:ascii="Times New Roman" w:cs="Times New Roman" w:eastAsia="Times New Roman" w:hAnsi="Times New Roman"/>
          <w:sz w:val="18"/>
          <w:szCs w:val="18"/>
          <w:b w:val="1"/>
          <w:bCs w:val="1"/>
          <w:color w:val="auto"/>
        </w:rPr>
        <w:t>Alps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a biotechnology research and healthcare platform focused on predictive, preventive, and precision medicine, announced the appointment of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Hee H. Lee (“</w:t>
      </w:r>
      <w:r>
        <w:rPr>
          <w:rFonts w:ascii="Times New Roman" w:cs="Times New Roman" w:eastAsia="Times New Roman" w:hAnsi="Times New Roman"/>
          <w:sz w:val="18"/>
          <w:szCs w:val="18"/>
          <w:b w:val="1"/>
          <w:bCs w:val="1"/>
          <w:color w:val="auto"/>
        </w:rPr>
        <w:t>Mr. Lee</w:t>
      </w:r>
      <w:r>
        <w:rPr>
          <w:rFonts w:ascii="Times New Roman" w:cs="Times New Roman" w:eastAsia="Times New Roman" w:hAnsi="Times New Roman"/>
          <w:sz w:val="18"/>
          <w:szCs w:val="18"/>
          <w:color w:val="auto"/>
        </w:rPr>
        <w:t>”) to its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effective April 17, 2026. The Company’s Board will increase from five (5) to six (6) directors in connection with this appointment. Mr. Lee is considered independent under applicable Nasdaq rules and is expected to serve as a member of the Audit Committee and the Compensation Committee.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Mr. Lee has over 35 years of experience in the public accounting and advisory services, including his tenure as a Partner at Ernst &amp; Young LLP (“</w:t>
      </w:r>
      <w:r>
        <w:rPr>
          <w:rFonts w:ascii="Times New Roman" w:cs="Times New Roman" w:eastAsia="Times New Roman" w:hAnsi="Times New Roman"/>
          <w:sz w:val="18"/>
          <w:szCs w:val="18"/>
          <w:b w:val="1"/>
          <w:bCs w:val="1"/>
          <w:color w:val="auto"/>
        </w:rPr>
        <w:t>EY</w:t>
      </w:r>
      <w:r>
        <w:rPr>
          <w:rFonts w:ascii="Times New Roman" w:cs="Times New Roman" w:eastAsia="Times New Roman" w:hAnsi="Times New Roman"/>
          <w:sz w:val="18"/>
          <w:szCs w:val="18"/>
          <w:color w:val="auto"/>
        </w:rPr>
        <w:t>”) within its Global Financial Services Organization. During his career, Mr. Lee advised boards of directors and senior management of financial institutions on financial reporting, corporate governance, structured transactions, and capital markets matters.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EY, Mr. Lee established and led the Americas Financial Accounting Advisory Services (“</w:t>
      </w:r>
      <w:r>
        <w:rPr>
          <w:rFonts w:ascii="Times New Roman" w:cs="Times New Roman" w:eastAsia="Times New Roman" w:hAnsi="Times New Roman"/>
          <w:sz w:val="18"/>
          <w:szCs w:val="18"/>
          <w:b w:val="1"/>
          <w:bCs w:val="1"/>
          <w:color w:val="auto"/>
        </w:rPr>
        <w:t>FAAS</w:t>
      </w:r>
      <w:r>
        <w:rPr>
          <w:rFonts w:ascii="Times New Roman" w:cs="Times New Roman" w:eastAsia="Times New Roman" w:hAnsi="Times New Roman"/>
          <w:sz w:val="18"/>
          <w:szCs w:val="18"/>
          <w:color w:val="auto"/>
        </w:rPr>
        <w:t>”) practice within the financial services sector. His experience spans asset management, banking, insurance, private equity, and fintech/digital assets. He has advised on derivatives, securitization, structured financing, initial public offerings, and mergers and acquisitions, and served for more than 20 years as an advisor to the International Swaps and Derivatives Association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contributing to the development and interpretation of industry standards affecting global capital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Lee is a Certified Public Accountant licensed in the State of New York and a member of the American Institute of Certified Public Accountants. He holds a Master of Accountancy and Financial Information Systems from Cleveland State University and a Bachelor of Business Administration from the University of Louisiana at Lafayette. He has also completed executive education programs in board and leadership development at Harvard University and the Kellogg School of Management.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Lee’s experience in financial reporting, governance, and capital markets will strengthen the Board’s oversight and support the Company’s ongoing development as a public company,” said Dr. Tham Seng Kong, Chief Executive Officer of Alps Group.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pleased to join the Board of Alps Group Inc and look forward to contributing to the Company’s strategic direction and governance framework. The Company’s focus on healthcare innovation is aligned with my professional and personal interests, and I look forward to working with the Board and management team.” said Mr.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448945</wp:posOffset>
            </wp:positionV>
            <wp:extent cx="1543050" cy="69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940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Alps Group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Alps Group Inc is the parent company of Alps Life Sciences Inc., an integrated biotechnology platform integrating research and development, medical services, and wellness solutions of advanced therapies under one unified ecosystem aimed at improving healthcare outcomes globally. Alps Group’s mission is to create a fair healthcare ecosystem, to make advance predictive, preventive, and precision medicine accessible and affordable.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may be considered to contain certain “forward-looking statements” within the meaning of “safe harbor” provisions of the Private Securities Litigation Reform Act of 1995. Forward-looking statements can be identified by words such as: “target,” “believe,” “expect,” “will,” “shall,” “may,” “anticipate,” “estimate,” “would,” “positioned,” “future,” “forecast,” “intend,” “plan,” “project” and other similar expressions that predict or indicate future events or trends or that are not statements of historical matters. Forward-looking statements are neither historical facts nor assurances of future performance. Instead, they are based only on the Company management’s current beliefs, expectations, and assumptions. Because forward-looking statements relate to the future, they are subject to inherent uncertainties, risks, and changes in circumstances that are difficult to predict and many of which are outside of our control. Actual results and outcomes may differ materially from those indicated in the forward-looking statements. Therefore, you should not rely on any of these forward-looking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further list and description of risks and uncertainties can be found in documents filed with the Securities and Exchange Commission (“SEC”) by the Company and other documents that we may file or furnish with the SEC, which you are encouraged to read. Any forward-looking statement made by us in this press release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investorrelations@alpsmedical.com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2026-04-17T08:00:55Z</dcterms:created>
  <dcterms:modified xsi:type="dcterms:W3CDTF">2026-04-17T08:00:55Z</dcterms:modified>
</cp:coreProperties>
</file>